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081D72" w:rsidRPr="00081D72" w:rsidRDefault="002F5282" w:rsidP="00081D72">
      <w:pPr>
        <w:tabs>
          <w:tab w:val="left" w:pos="4395"/>
          <w:tab w:val="left" w:pos="5670"/>
        </w:tabs>
        <w:spacing w:before="240" w:after="0"/>
        <w:rPr>
          <w:rFonts w:ascii="Times New Roman" w:eastAsia="Times New Roman" w:hAnsi="Times New Roman"/>
          <w:b/>
          <w:bCs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081D72" w:rsidRPr="00081D72">
        <w:rPr>
          <w:rFonts w:ascii="Times New Roman" w:eastAsia="Times New Roman" w:hAnsi="Times New Roman"/>
          <w:sz w:val="24"/>
          <w:szCs w:val="20"/>
        </w:rPr>
        <w:t>Úřad:</w:t>
      </w:r>
      <w:r w:rsidR="00081D72" w:rsidRPr="00081D72">
        <w:rPr>
          <w:rFonts w:ascii="Times New Roman" w:eastAsia="Times New Roman" w:hAnsi="Times New Roman"/>
          <w:sz w:val="24"/>
          <w:szCs w:val="20"/>
        </w:rPr>
        <w:tab/>
      </w:r>
      <w:r w:rsidR="00081D72" w:rsidRPr="00081D72">
        <w:rPr>
          <w:rFonts w:ascii="Times New Roman" w:eastAsia="Times New Roman" w:hAnsi="Times New Roman"/>
          <w:b/>
          <w:bCs/>
          <w:sz w:val="24"/>
          <w:szCs w:val="20"/>
        </w:rPr>
        <w:t>Městs</w:t>
      </w:r>
      <w:bookmarkStart w:id="0" w:name="_GoBack"/>
      <w:bookmarkEnd w:id="0"/>
      <w:r w:rsidR="00081D72" w:rsidRPr="00081D72">
        <w:rPr>
          <w:rFonts w:ascii="Times New Roman" w:eastAsia="Times New Roman" w:hAnsi="Times New Roman"/>
          <w:b/>
          <w:bCs/>
          <w:sz w:val="24"/>
          <w:szCs w:val="20"/>
        </w:rPr>
        <w:t>ký úřad Nýrsko</w:t>
      </w:r>
    </w:p>
    <w:p w:rsidR="00081D72" w:rsidRPr="00081D72" w:rsidRDefault="00081D72" w:rsidP="00081D72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081D72">
        <w:rPr>
          <w:rFonts w:ascii="Times New Roman" w:eastAsia="Times New Roman" w:hAnsi="Times New Roman"/>
          <w:b/>
          <w:bCs/>
          <w:sz w:val="24"/>
          <w:szCs w:val="20"/>
        </w:rPr>
        <w:tab/>
        <w:t xml:space="preserve">      </w:t>
      </w:r>
      <w:r w:rsidRPr="00081D72">
        <w:rPr>
          <w:rFonts w:ascii="Times New Roman" w:eastAsia="Times New Roman" w:hAnsi="Times New Roman"/>
          <w:b/>
          <w:bCs/>
          <w:sz w:val="24"/>
          <w:szCs w:val="20"/>
        </w:rPr>
        <w:tab/>
        <w:t>Stavební úřad a odbor životního prostředí</w:t>
      </w:r>
    </w:p>
    <w:p w:rsidR="00081D72" w:rsidRPr="00081D72" w:rsidRDefault="00081D72" w:rsidP="00081D7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81D72"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Pr="00081D72">
        <w:rPr>
          <w:rFonts w:ascii="Times New Roman" w:eastAsia="Times New Roman" w:hAnsi="Times New Roman"/>
          <w:b/>
          <w:bCs/>
          <w:sz w:val="24"/>
          <w:szCs w:val="20"/>
        </w:rPr>
        <w:tab/>
        <w:t>a silničního hospodářství</w:t>
      </w:r>
    </w:p>
    <w:p w:rsidR="00081D72" w:rsidRPr="00081D72" w:rsidRDefault="00081D72" w:rsidP="00081D7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081D72">
        <w:rPr>
          <w:rFonts w:ascii="Times New Roman" w:eastAsia="Times New Roman" w:hAnsi="Times New Roman"/>
          <w:sz w:val="24"/>
          <w:szCs w:val="20"/>
        </w:rPr>
        <w:tab/>
        <w:t>Ulice:</w:t>
      </w:r>
      <w:r w:rsidRPr="00081D72">
        <w:rPr>
          <w:rFonts w:ascii="Times New Roman" w:eastAsia="Times New Roman" w:hAnsi="Times New Roman"/>
          <w:sz w:val="24"/>
          <w:szCs w:val="20"/>
        </w:rPr>
        <w:tab/>
      </w:r>
      <w:r w:rsidRPr="00081D72">
        <w:rPr>
          <w:rFonts w:ascii="Times New Roman" w:eastAsia="Times New Roman" w:hAnsi="Times New Roman"/>
          <w:b/>
          <w:bCs/>
          <w:sz w:val="24"/>
          <w:szCs w:val="20"/>
        </w:rPr>
        <w:t>Náměstí 122</w:t>
      </w:r>
    </w:p>
    <w:p w:rsidR="00081D72" w:rsidRPr="00081D72" w:rsidRDefault="00081D72" w:rsidP="00081D7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81D72">
        <w:rPr>
          <w:rFonts w:ascii="Times New Roman" w:eastAsia="Times New Roman" w:hAnsi="Times New Roman"/>
          <w:sz w:val="24"/>
          <w:szCs w:val="20"/>
        </w:rPr>
        <w:tab/>
        <w:t>PSČ, obec:</w:t>
      </w:r>
      <w:r w:rsidRPr="00081D72">
        <w:rPr>
          <w:rFonts w:ascii="Times New Roman" w:eastAsia="Times New Roman" w:hAnsi="Times New Roman"/>
          <w:sz w:val="24"/>
          <w:szCs w:val="20"/>
        </w:rPr>
        <w:tab/>
      </w:r>
      <w:r w:rsidRPr="00081D72">
        <w:rPr>
          <w:rFonts w:ascii="Times New Roman" w:eastAsia="Times New Roman" w:hAnsi="Times New Roman"/>
          <w:b/>
          <w:bCs/>
          <w:sz w:val="24"/>
          <w:szCs w:val="20"/>
        </w:rPr>
        <w:t>340 22 Nýrsko</w:t>
      </w:r>
    </w:p>
    <w:p w:rsidR="002F5282" w:rsidRPr="00B53327" w:rsidRDefault="002F5282" w:rsidP="00081D7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   </w:t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VYUŽITÍ ÚZEMÍ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81D7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81D7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81D7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81D7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81D7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81D7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80, 85 a 94a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4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Základní údaje o změně využití území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(druh, stávající účel, nový účel, celková výměra)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bude změna využití provedena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7"/>
        <w:gridCol w:w="3827"/>
        <w:gridCol w:w="992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 vlivu změny využití území na životní prostředí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na změnu využití území se nevztahuje zákon č. 100/2001 Sb. ani § 45h a 45i zák.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>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změna využití území, která je podlimitním záměrem, nepodléhá zjišťovacímu řízení, je-li podle zákona č. 100/2001 Sb., vyžadováno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2F5282" w:rsidRPr="000B2D34" w:rsidRDefault="002F5282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:rsidR="002F5282" w:rsidRPr="000B2D34" w:rsidRDefault="002F5282" w:rsidP="002F5282">
      <w:pPr>
        <w:tabs>
          <w:tab w:val="left" w:pos="426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využití území byla posouzena před podáním žádosti o vydání rozhodnutí – žadatel doloží verifikační závazné stanovisko podle § 9a odst. 1 zákona č. 100/2001 Sb. 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7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7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Smlouvy s příslušnými vlastníky veřejné dopravní a technické infrastruktury, vyžaduje-li záměr vybudování nové nebo úpravu stávající veřejné dopravní a technické infrastruktury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F225B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změna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využití území </w:t>
            </w: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 posouzení jejích vlivů na životní prostředí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bodu III. žádosti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before="60"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  <w:p w:rsidR="002F5282" w:rsidRPr="002B17A8" w:rsidRDefault="002F5282" w:rsidP="00643166">
            <w:pPr>
              <w:pStyle w:val="Odstavecseseznamem"/>
              <w:numPr>
                <w:ilvl w:val="0"/>
                <w:numId w:val="77"/>
              </w:numPr>
              <w:tabs>
                <w:tab w:val="left" w:pos="426"/>
                <w:tab w:val="left" w:pos="851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okud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změna využití území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nevyžaduje posouzení jejích vlivů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stanovisko orgánu ochrany přírody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využití území, která je podlimitním záměrem, nepodléhá zjišťovacímu řízení, je-li podle zákona č. 100/2001 Sb. vyžadováno, nebo</w:t>
            </w:r>
          </w:p>
          <w:p w:rsidR="002F5282" w:rsidRPr="00B53327" w:rsidRDefault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závěr zjišťovacího řízení, že změna využití území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rPr>
          <w:trHeight w:val="424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6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24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7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89266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FC" w:rsidRDefault="002E2EFC" w:rsidP="00165DCC">
      <w:pPr>
        <w:spacing w:after="0" w:line="240" w:lineRule="auto"/>
      </w:pPr>
      <w:r>
        <w:separator/>
      </w:r>
    </w:p>
  </w:endnote>
  <w:endnote w:type="continuationSeparator" w:id="0">
    <w:p w:rsidR="002E2EFC" w:rsidRDefault="002E2EFC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081D72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FC" w:rsidRDefault="002E2EFC" w:rsidP="00165DCC">
      <w:pPr>
        <w:spacing w:after="0" w:line="240" w:lineRule="auto"/>
      </w:pPr>
      <w:r>
        <w:separator/>
      </w:r>
    </w:p>
  </w:footnote>
  <w:footnote w:type="continuationSeparator" w:id="0">
    <w:p w:rsidR="002E2EFC" w:rsidRDefault="002E2EFC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72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0D1A"/>
    <w:rsid w:val="002E2EFC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661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6686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839206F-7088-4060-8C4E-2605991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7AA8-7590-46BC-B851-7F759961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2096</Words>
  <Characters>12373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Marketa Mundlova</cp:lastModifiedBy>
  <cp:revision>4</cp:revision>
  <cp:lastPrinted>2017-05-02T07:53:00Z</cp:lastPrinted>
  <dcterms:created xsi:type="dcterms:W3CDTF">2018-05-18T10:35:00Z</dcterms:created>
  <dcterms:modified xsi:type="dcterms:W3CDTF">2018-05-22T10:57:00Z</dcterms:modified>
</cp:coreProperties>
</file>